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40"/>
      </w:pPr>
      <w:r>
        <w:rPr>
          <w:rFonts w:ascii="Arial" w:cs="Arial" w:eastAsia="Arial" w:hAnsi="Arial"/>
          <w:b/>
          <w:bCs/>
          <w:color w:val="0B1F4B"/>
          <w:sz w:val="44"/>
          <w:szCs w:val="44"/>
        </w:rPr>
        <w:t xml:space="preserve">Business Tax Return Checklist</w:t>
      </w:r>
    </w:p>
    <w:p>
      <w:pPr>
        <w:pBdr>
          <w:bottom w:val="single" w:color="1B64F2" w:sz="12" w:space="8"/>
        </w:pBdr>
        <w:spacing w:after="200" w:before="0" w:line="276"/>
      </w:pPr>
      <w:r>
        <w:rPr>
          <w:rFonts w:ascii="Arial" w:cs="Arial" w:eastAsia="Arial" w:hAnsi="Arial"/>
          <w:b/>
          <w:bCs/>
          <w:caps/>
          <w:color w:val="5B6B80"/>
          <w:spacing w:val="30"/>
          <w:sz w:val="18"/>
          <w:szCs w:val="18"/>
        </w:rPr>
        <w:t xml:space="preserve">Year-end list for companies, trusts and partnerships</w:t>
      </w:r>
    </w:p>
    <w:p>
      <w:pPr>
        <w:spacing w:after="160" w:before="0" w:line="276"/>
      </w:pPr>
      <w:r>
        <w:rPr>
          <w:rFonts w:ascii="Arial" w:cs="Arial" w:eastAsia="Arial" w:hAnsi="Arial"/>
          <w:i/>
          <w:iCs/>
          <w:color w:val="5B6B80"/>
          <w:sz w:val="19"/>
          <w:szCs w:val="19"/>
        </w:rPr>
        <w:t xml:space="preserve">Bring, upload or give us access to the items below for the year to 30 June. If we already have access to your accounting file, tick the items we can take from it and concentrate on the rest.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00"/>
        <w:gridCol w:w="6438"/>
      </w:tblGrid>
      <w:tr>
        <w:tc>
          <w:tcPr>
            <w:tcW w:type="dxa" w:w="3200"/>
            <w:tcBorders>
              <w:top w:val="none" w:color="FFFFFF" w:sz="0"/>
              <w:left w:val="none" w:color="FFFFFF" w:sz="0"/>
              <w:bottom w:val="none" w:color="FFFFFF" w:sz="0"/>
              <w:right w:val="none" w:color="FFFFFF" w:sz="0"/>
            </w:tcBorders>
            <w:tcMar>
              <w:top w:type="dxa" w:w="80"/>
              <w:bottom w:type="dxa" w:w="80"/>
            </w:tcMar>
          </w:tcPr>
          <w:p>
            <w:pPr>
              <w:spacing w:after="0" w:before="0" w:line="276"/>
            </w:pPr>
            <w:r>
              <w:rPr>
                <w:rFonts w:ascii="Arial" w:cs="Arial" w:eastAsia="Arial" w:hAnsi="Arial"/>
                <w:b/>
                <w:bCs/>
                <w:color w:val="0B1F4B"/>
                <w:sz w:val="20"/>
                <w:szCs w:val="20"/>
              </w:rPr>
              <w:t xml:space="preserve">Entity name</w:t>
            </w:r>
          </w:p>
        </w:tc>
        <w:tc>
          <w:tcPr>
            <w:tcW w:type="dxa" w:w="6438"/>
            <w:tcBorders>
              <w:top w:val="none" w:color="FFFFFF" w:sz="0"/>
              <w:left w:val="none" w:color="FFFFFF" w:sz="0"/>
              <w:bottom w:val="single" w:color="5B6B80" w:sz="6"/>
              <w:right w:val="none" w:color="FFFFFF" w:sz="0"/>
            </w:tcBorders>
            <w:shd w:fill="D9E9FF" w:color="auto" w:val="clear"/>
            <w:tcMar>
              <w:top w:type="dxa" w:w="80"/>
              <w:left w:type="dxa" w:w="100"/>
              <w:bottom w:type="dxa" w:w="80"/>
            </w:tcMar>
          </w:tcPr>
          <w:p>
            <w:pPr>
              <w:spacing w:after="0" w:before="0" w:line="276"/>
            </w:pPr>
            <w:r>
              <w:rPr>
                <w:rFonts w:ascii="Arial" w:cs="Arial" w:eastAsia="Arial" w:hAnsi="Arial"/>
                <w:color w:val="1C2A44"/>
                <w:sz w:val="20"/>
                <w:szCs w:val="20"/>
              </w:rPr>
              <w:t xml:space="preserve"> </w:t>
            </w: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00"/>
        <w:gridCol w:w="6438"/>
      </w:tblGrid>
      <w:tr>
        <w:tc>
          <w:tcPr>
            <w:tcW w:type="dxa" w:w="3200"/>
            <w:tcBorders>
              <w:top w:val="none" w:color="FFFFFF" w:sz="0"/>
              <w:left w:val="none" w:color="FFFFFF" w:sz="0"/>
              <w:bottom w:val="none" w:color="FFFFFF" w:sz="0"/>
              <w:right w:val="none" w:color="FFFFFF" w:sz="0"/>
            </w:tcBorders>
            <w:tcMar>
              <w:top w:type="dxa" w:w="80"/>
              <w:bottom w:type="dxa" w:w="80"/>
            </w:tcMar>
          </w:tcPr>
          <w:p>
            <w:pPr>
              <w:spacing w:after="0" w:before="0" w:line="276"/>
            </w:pPr>
            <w:r>
              <w:rPr>
                <w:rFonts w:ascii="Arial" w:cs="Arial" w:eastAsia="Arial" w:hAnsi="Arial"/>
                <w:b/>
                <w:bCs/>
                <w:color w:val="0B1F4B"/>
                <w:sz w:val="20"/>
                <w:szCs w:val="20"/>
              </w:rPr>
              <w:t xml:space="preserve">ABN</w:t>
            </w:r>
          </w:p>
        </w:tc>
        <w:tc>
          <w:tcPr>
            <w:tcW w:type="dxa" w:w="6438"/>
            <w:tcBorders>
              <w:top w:val="none" w:color="FFFFFF" w:sz="0"/>
              <w:left w:val="none" w:color="FFFFFF" w:sz="0"/>
              <w:bottom w:val="single" w:color="5B6B80" w:sz="6"/>
              <w:right w:val="none" w:color="FFFFFF" w:sz="0"/>
            </w:tcBorders>
            <w:shd w:fill="D9E9FF" w:color="auto" w:val="clear"/>
            <w:tcMar>
              <w:top w:type="dxa" w:w="80"/>
              <w:left w:type="dxa" w:w="100"/>
              <w:bottom w:type="dxa" w:w="80"/>
            </w:tcMar>
          </w:tcPr>
          <w:p>
            <w:pPr>
              <w:spacing w:after="0" w:before="0" w:line="276"/>
            </w:pPr>
            <w:r>
              <w:rPr>
                <w:rFonts w:ascii="Arial" w:cs="Arial" w:eastAsia="Arial" w:hAnsi="Arial"/>
                <w:color w:val="1C2A44"/>
                <w:sz w:val="20"/>
                <w:szCs w:val="20"/>
              </w:rPr>
              <w:t xml:space="preserve"> </w:t>
            </w: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00"/>
        <w:gridCol w:w="6438"/>
      </w:tblGrid>
      <w:tr>
        <w:tc>
          <w:tcPr>
            <w:tcW w:type="dxa" w:w="3200"/>
            <w:tcBorders>
              <w:top w:val="none" w:color="FFFFFF" w:sz="0"/>
              <w:left w:val="none" w:color="FFFFFF" w:sz="0"/>
              <w:bottom w:val="none" w:color="FFFFFF" w:sz="0"/>
              <w:right w:val="none" w:color="FFFFFF" w:sz="0"/>
            </w:tcBorders>
            <w:tcMar>
              <w:top w:type="dxa" w:w="80"/>
              <w:bottom w:type="dxa" w:w="80"/>
            </w:tcMar>
          </w:tcPr>
          <w:p>
            <w:pPr>
              <w:spacing w:after="0" w:before="0" w:line="276"/>
            </w:pPr>
            <w:r>
              <w:rPr>
                <w:rFonts w:ascii="Arial" w:cs="Arial" w:eastAsia="Arial" w:hAnsi="Arial"/>
                <w:b/>
                <w:bCs/>
                <w:color w:val="0B1F4B"/>
                <w:sz w:val="20"/>
                <w:szCs w:val="20"/>
              </w:rPr>
              <w:t xml:space="preserve">Structure (company / trust / partnership)</w:t>
            </w:r>
          </w:p>
        </w:tc>
        <w:tc>
          <w:tcPr>
            <w:tcW w:type="dxa" w:w="6438"/>
            <w:tcBorders>
              <w:top w:val="none" w:color="FFFFFF" w:sz="0"/>
              <w:left w:val="none" w:color="FFFFFF" w:sz="0"/>
              <w:bottom w:val="single" w:color="5B6B80" w:sz="6"/>
              <w:right w:val="none" w:color="FFFFFF" w:sz="0"/>
            </w:tcBorders>
            <w:shd w:fill="D9E9FF" w:color="auto" w:val="clear"/>
            <w:tcMar>
              <w:top w:type="dxa" w:w="80"/>
              <w:left w:type="dxa" w:w="100"/>
              <w:bottom w:type="dxa" w:w="80"/>
            </w:tcMar>
          </w:tcPr>
          <w:p>
            <w:pPr>
              <w:spacing w:after="0" w:before="0" w:line="276"/>
            </w:pPr>
            <w:r>
              <w:rPr>
                <w:rFonts w:ascii="Arial" w:cs="Arial" w:eastAsia="Arial" w:hAnsi="Arial"/>
                <w:color w:val="1C2A44"/>
                <w:sz w:val="20"/>
                <w:szCs w:val="20"/>
              </w:rPr>
              <w:t xml:space="preserve"> </w:t>
            </w: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00"/>
        <w:gridCol w:w="6438"/>
      </w:tblGrid>
      <w:tr>
        <w:tc>
          <w:tcPr>
            <w:tcW w:type="dxa" w:w="3200"/>
            <w:tcBorders>
              <w:top w:val="none" w:color="FFFFFF" w:sz="0"/>
              <w:left w:val="none" w:color="FFFFFF" w:sz="0"/>
              <w:bottom w:val="none" w:color="FFFFFF" w:sz="0"/>
              <w:right w:val="none" w:color="FFFFFF" w:sz="0"/>
            </w:tcBorders>
            <w:tcMar>
              <w:top w:type="dxa" w:w="80"/>
              <w:bottom w:type="dxa" w:w="80"/>
            </w:tcMar>
          </w:tcPr>
          <w:p>
            <w:pPr>
              <w:spacing w:after="0" w:before="0" w:line="276"/>
            </w:pPr>
            <w:r>
              <w:rPr>
                <w:rFonts w:ascii="Arial" w:cs="Arial" w:eastAsia="Arial" w:hAnsi="Arial"/>
                <w:b/>
                <w:bCs/>
                <w:color w:val="0B1F4B"/>
                <w:sz w:val="20"/>
                <w:szCs w:val="20"/>
              </w:rPr>
              <w:t xml:space="preserve">Year ended 30 June</w:t>
            </w:r>
          </w:p>
        </w:tc>
        <w:tc>
          <w:tcPr>
            <w:tcW w:type="dxa" w:w="6438"/>
            <w:tcBorders>
              <w:top w:val="none" w:color="FFFFFF" w:sz="0"/>
              <w:left w:val="none" w:color="FFFFFF" w:sz="0"/>
              <w:bottom w:val="single" w:color="5B6B80" w:sz="6"/>
              <w:right w:val="none" w:color="FFFFFF" w:sz="0"/>
            </w:tcBorders>
            <w:shd w:fill="D9E9FF" w:color="auto" w:val="clear"/>
            <w:tcMar>
              <w:top w:type="dxa" w:w="80"/>
              <w:left w:type="dxa" w:w="100"/>
              <w:bottom w:type="dxa" w:w="80"/>
            </w:tcMar>
          </w:tcPr>
          <w:p>
            <w:pPr>
              <w:spacing w:after="0" w:before="0" w:line="276"/>
            </w:pPr>
            <w:r>
              <w:rPr>
                <w:rFonts w:ascii="Arial" w:cs="Arial" w:eastAsia="Arial" w:hAnsi="Arial"/>
                <w:color w:val="1C2A44"/>
                <w:sz w:val="20"/>
                <w:szCs w:val="20"/>
              </w:rPr>
              <w:t xml:space="preserve"> </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Accounts and records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bCs/>
                <w:color w:val="1C2A44"/>
                <w:sz w:val="20"/>
                <w:szCs w:val="20"/>
              </w:rPr>
              <w:t xml:space="preserve">Accounting file access, or the year’s profit and loss, balance sheet and general ledger</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Bank, credit card and loan statements for every business account, showing the balance at 30 June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Reconciled bank accounts to 30 June, or the unreconciled transactions listed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Debtors (amounts owed to you) and creditors (amounts you owe) at 30 June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Stock on hand at 30 June, valued at cost, and any obsolete stock written off</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Cash sales and cash expenses not run through the bank</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Income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Sales and other income for the year, including grants, subsidies and insurance recoveries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Interest, dividends and distributions received by the entity</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Proceeds from the sale of any asset, vehicle or property, with the contract</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Income earned overseas, including New Zealand, and foreign tax paid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Personal services income, if the entity earns income mainly from your personal effort</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Expenses and assets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Invoices for asset purchases during the year (equipment, vehicles, fit-out, software) and the date each was first used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Finance agreements, chattel mortgages and hire purchase contracts for new borrowing</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Motor vehicle logbooks and running costs for each business vehicle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Home office costs if the business operates from home, with the floor-area or time basis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Prepaid expenses at 30 June (insurance, rent, subscriptions)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Bad debts written off before 30 June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Legal, accounting and consulting invoices, and anything relating to a restructure or purchase</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Payroll and superannuation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Single Touch Payroll finalisation completed by 14 July</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Wages, allowances, bonuses and directors’ fees paid, and PAYG withheld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Superannuation paid for each employee and the date each payment reached the fund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Contractor payments and, where required, the taxable payments annual report</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Workers’ compensation policy and wage declaration</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Fringe benefits provided: vehicles, entertainment, expense payments (FBT year ends 31 March)</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BAS, GST and instalments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All BAS lodged for the year, and any amendments needed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PAYG instalments paid during the year</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GST-free, input-taxed or private-use adjustments to note</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Owners, loans and distributions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Money taken by owners, directors or shareholders other than wages or dividends, and any loans to or from the entity (Division 7A)</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Existing Division 7A loan agreements and the minimum repayments made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Trusts: the signed distribution resolution made by 30 June, and the beneficiaries’ details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Companies: dividends paid, franking credits attached, and the franking account balance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Partnerships: the partnership agreement and any change in partners or profit share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Related-party transactions: rent, management fees, loans and asset transfers between family entities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Changes to directors, shareholders, trustees or the trust deed during the year</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Other</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Research and development activities, grants or incentives claimed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Insurance claims, legal disputes or ATO correspondence during the year</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Anything the business bought, sold, started or stopped that we should know about</w:t>
            </w:r>
          </w:p>
        </w:tc>
      </w:tr>
    </w:tbl>
    <w:sectPr>
      <w:headerReference w:type="default" r:id="rId7"/>
      <w:footerReference w:type="default" r:id="rId8"/>
      <w:pgSz w:w="11906" w:h="16838" w:orient="portrait"/>
      <w:pgMar w:top="1300" w:right="1134" w:bottom="1100"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AF2" w:sz="6" w:space="6"/>
      </w:pBdr>
      <w:spacing w:after="40" w:before="0" w:line="276"/>
      <w:jc w:val="center"/>
    </w:pPr>
    <w:r>
      <w:rPr>
        <w:rFonts w:ascii="Arial" w:cs="Arial" w:eastAsia="Arial" w:hAnsi="Arial"/>
        <w:color w:val="5B6B80"/>
        <w:sz w:val="14"/>
        <w:szCs w:val="14"/>
      </w:rPr>
      <w:t xml:space="preserve">Tax Doctorz Pty Ltd · Registered Tax Agent 26343636 · Chartered Accountants ANZ · info@taxdoctorz.com.au · 0478 905 605 · taxdoctorz.com.au</w:t>
    </w:r>
  </w:p>
  <w:p>
    <w:pPr>
      <w:spacing w:after="0"/>
      <w:jc w:val="center"/>
    </w:pPr>
    <w:r>
      <w:rPr>
        <w:rFonts w:ascii="Arial" w:cs="Arial" w:eastAsia="Arial" w:hAnsi="Arial"/>
        <w:color w:val="5B6B80"/>
        <w:sz w:val="14"/>
        <w:szCs w:val="14"/>
      </w:rPr>
      <w:t xml:space="preserve">Page </w:t>
    </w:r>
    <w:r>
      <w:rPr>
        <w:rFonts w:ascii="Arial" w:cs="Arial" w:eastAsia="Arial" w:hAnsi="Arial"/>
        <w:color w:val="5B6B80"/>
        <w:sz w:val="14"/>
        <w:szCs w:val="14"/>
      </w:rPr>
      <w:fldChar w:fldCharType="begin"/>
      <w:instrText xml:space="preserve">PAGE</w:instrText>
      <w:fldChar w:fldCharType="separate"/>
      <w:fldChar w:fldCharType="end"/>
    </w:r>
    <w:r>
      <w:rPr>
        <w:rFonts w:ascii="Arial" w:cs="Arial" w:eastAsia="Arial" w:hAnsi="Arial"/>
        <w:color w:val="5B6B80"/>
        <w:sz w:val="14"/>
        <w:szCs w:val="14"/>
      </w:rPr>
      <w:t xml:space="preserve"> of </w:t>
    </w:r>
    <w:r>
      <w:rPr>
        <w:rFonts w:ascii="Arial" w:cs="Arial" w:eastAsia="Arial" w:hAnsi="Arial"/>
        <w:color w:val="5B6B80"/>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E5EAF2" w:sz="6"/>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bottom w:type="dxa" w:w="100"/>
          </w:tcMar>
        </w:tcPr>
        <w:p>
          <w:pPr>
            <w:spacing w:after="0"/>
          </w:pPr>
          <w:r>
            <w:drawing>
              <wp:inline distT="0" distB="0" distL="0" distR="0">
                <wp:extent cx="1428750" cy="21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19075"/>
                        </a:xfrm>
                        <a:prstGeom prst="rect">
                          <a:avLst/>
                        </a:prstGeom>
                      </pic:spPr>
                    </pic:pic>
                  </a:graphicData>
                </a:graphic>
              </wp:inline>
            </w:drawing>
          </w:r>
        </w:p>
      </w:tc>
      <w:tc>
        <w:tcPr>
          <w:tcW w:type="dxa" w:w="4819"/>
          <w:tcBorders>
            <w:top w:val="none" w:color="FFFFFF" w:sz="0"/>
            <w:left w:val="none" w:color="FFFFFF" w:sz="0"/>
            <w:bottom w:val="none" w:color="FFFFFF" w:sz="0"/>
            <w:right w:val="none" w:color="FFFFFF" w:sz="0"/>
          </w:tcBorders>
          <w:tcMar>
            <w:bottom w:type="dxa" w:w="100"/>
          </w:tcMar>
          <w:vAlign w:val="center"/>
        </w:tcPr>
        <w:p>
          <w:pPr>
            <w:spacing w:after="0" w:before="0" w:line="276"/>
            <w:jc w:val="right"/>
          </w:pPr>
          <w:r>
            <w:rPr>
              <w:rFonts w:ascii="Arial" w:cs="Arial" w:eastAsia="Arial" w:hAnsi="Arial"/>
              <w:b/>
              <w:bCs/>
              <w:caps/>
              <w:color w:val="5B6B80"/>
              <w:spacing w:val="24"/>
              <w:sz w:val="14"/>
              <w:szCs w:val="14"/>
            </w:rPr>
            <w:t xml:space="preserve">Chartered Accountants · Tax &amp; Business Advisory</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2A4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be399ee2213fd7876d32e977ba5d3832791b33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2026-09-21T04:32:37.255Z</dcterms:created>
  <dcterms:modified xsi:type="dcterms:W3CDTF">2026-09-21T04:32:37.255Z</dcterms:modified>
</cp:coreProperties>
</file>

<file path=docProps/custom.xml><?xml version="1.0" encoding="utf-8"?>
<Properties xmlns="http://schemas.openxmlformats.org/officeDocument/2006/custom-properties" xmlns:vt="http://schemas.openxmlformats.org/officeDocument/2006/docPropsVTypes"/>
</file>