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/>
      </w:pPr>
      <w:r>
        <w:rPr>
          <w:rFonts w:ascii="Arial" w:cs="Arial" w:eastAsia="Arial" w:hAnsi="Arial"/>
          <w:b/>
          <w:bCs/>
          <w:color w:val="0B1F4B"/>
          <w:sz w:val="44"/>
          <w:szCs w:val="44"/>
        </w:rPr>
        <w:t xml:space="preserve">Employing Staff Checklist</w:t>
      </w:r>
    </w:p>
    <w:p>
      <w:pPr>
        <w:pBdr>
          <w:bottom w:val="single" w:color="1B64F2" w:sz="12" w:space="8"/>
        </w:pBdr>
        <w:spacing w:after="200" w:before="0" w:line="276"/>
      </w:pPr>
      <w:r>
        <w:rPr>
          <w:rFonts w:ascii="Arial" w:cs="Arial" w:eastAsia="Arial" w:hAnsi="Arial"/>
          <w:b/>
          <w:bCs/>
          <w:caps/>
          <w:color w:val="5B6B80"/>
          <w:spacing w:val="30"/>
          <w:sz w:val="18"/>
          <w:szCs w:val="18"/>
        </w:rPr>
        <w:t xml:space="preserve">Before your first employee starts, and the obligations that follow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Employment brings registrations, payroll systems and deadlines that do not wait for the business to settle in. Work through the first section before day one; the second is the routine to keep.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Business name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ABN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First employee start date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Before the first employee starts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Decide employee or contractor honestly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The ATO and Fair Work look at the whole relationship, not the label on the invoice.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Register for PAYG withholding with the ATO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Take out a WorkCover Queensland accident insurance policy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Compulsory before an employee starts work, other states have their own scheme.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Identify the modern award or enterprise agreement that covers the role, and the pay rate, loadings and penalties in it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Written employment contract or letter of offer: role, hours, pay, probation, notice, casual or permanent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Check work rights for anyone who is not an Australian citizen or permanent resident (VEVO)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Set up STP-enabled payroll software, or add payroll to your accounting software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Superannuation: choose your default fund and be ready to request each new employee’s stapled fund from the ATO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Onboarding each employee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Tax file number declaration (online through ATO or the paper form)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Superannuation standard choice form, or the stapled fund request if they do not choose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Fair Work Information Statement, and the Casual Employment Information Statement for casuals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Bank details, emergency contact and any licences, qualifications or tickets the role needs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Enter the employee in payroll with the correct award classification, pay rate and leave entitlements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Workplace policies, induction and safety training, and a record that they were given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Every pay run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Pay at least the award rate, including penalties, allowances and overtime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Give a pay slip within one working day of payday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Report the pay run through Single Touch Payroll on or before payday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Pay superannuation guarantee on each employee’s ordinary time earnings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From 1 July 2026 super must reach the fund within seven business days of payday (payday super); confirm the current rate on our Tax Facts page.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Withhold PAYG and pay it with your activity statement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Each quarter and each year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Activity statement with PAYG withholding by the due date (monthly if withholding is large)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Finalise Single Touch Payroll by 14 July so employees can lodge their returns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WorkCover wages declaration and premium renewal (Queensland: by 31 August)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Payroll tax registration if Queensland wages exceed the state threshold, and the annual reconciliation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Fringe benefits tax return by 21 May if you provide cars, entertainment or other benefits (FBT year ends 31 March)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Taxable payments annual report by 28 August if you pay contractors in building, cleaning, courier, IT, road freight or security services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Review award pay rates on 1 July each year when the Fair Work Commission’s increase applies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Records to keep for seven years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Time and wage records, pay slips, leave records and rosters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Employment contracts, TFN declarations, super choice forms and Fair Work statements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Super payment confirmations showing the date each contribution reached the fund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Termination records: final pay calculations and notice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AF2" w:sz="6" w:space="6"/>
      </w:pBdr>
      <w:spacing w:after="40" w:before="0" w:line="276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Tax Doctorz Pty Ltd · Registered Tax Agent 26343636 · Chartered Accountants ANZ · info@taxdoctorz.com.au · 0478 905 605 · taxdoctorz.com.au</w:t>
    </w:r>
  </w:p>
  <w:p>
    <w:pPr>
      <w:spacing w:after="0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Page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0"/>
        <w:sz w:val="14"/>
        <w:szCs w:val="14"/>
      </w:rPr>
      <w:t xml:space="preserve"> of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E5EAF2" w:sz="6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spacing w:after="0"/>
          </w:pPr>
          <w:r>
            <w:drawing>
              <wp:inline distT="0" distB="0" distL="0" distR="0">
                <wp:extent cx="1428750" cy="2190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b/>
              <w:bCs/>
              <w:caps/>
              <w:color w:val="5B6B80"/>
              <w:spacing w:val="24"/>
              <w:sz w:val="14"/>
              <w:szCs w:val="14"/>
            </w:rPr>
            <w:t xml:space="preserve">Chartered Accountants · Tax &amp; Business Advisory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e399ee2213fd7876d32e977ba5d3832791b3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2026-09-21T04:32:37.263Z</dcterms:created>
  <dcterms:modified xsi:type="dcterms:W3CDTF">2026-09-21T04:32:37.263Z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