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40"/>
      </w:pPr>
      <w:r>
        <w:rPr>
          <w:rFonts w:ascii="Arial" w:cs="Arial" w:eastAsia="Arial" w:hAnsi="Arial"/>
          <w:b/>
          <w:bCs/>
          <w:color w:val="0B1F4B"/>
          <w:sz w:val="44"/>
          <w:szCs w:val="44"/>
        </w:rPr>
        <w:t xml:space="preserve">Individual Tax Return Checklist</w:t>
      </w:r>
    </w:p>
    <w:p>
      <w:pPr>
        <w:pBdr>
          <w:bottom w:val="single" w:color="1B64F2" w:sz="12" w:space="8"/>
        </w:pBdr>
        <w:spacing w:after="200" w:before="0" w:line="276"/>
      </w:pPr>
      <w:r>
        <w:rPr>
          <w:rFonts w:ascii="Arial" w:cs="Arial" w:eastAsia="Arial" w:hAnsi="Arial"/>
          <w:b/>
          <w:bCs/>
          <w:caps/>
          <w:color w:val="5B6B80"/>
          <w:spacing w:val="30"/>
          <w:sz w:val="18"/>
          <w:szCs w:val="18"/>
        </w:rPr>
        <w:t xml:space="preserve">Every income type, deduction, offset and record for an individual return</w:t>
      </w:r>
    </w:p>
    <w:p>
      <w:pPr>
        <w:spacing w:after="160" w:before="0" w:line="276"/>
      </w:pPr>
      <w:r>
        <w:rPr>
          <w:rFonts w:ascii="Arial" w:cs="Arial" w:eastAsia="Arial" w:hAnsi="Arial"/>
          <w:i/>
          <w:iCs/>
          <w:color w:val="5B6B80"/>
          <w:sz w:val="19"/>
          <w:szCs w:val="19"/>
        </w:rPr>
        <w:t xml:space="preserve">A fuller companion to the Tax Appointment Checklist: work down each section and tick what applies to you this year. Most payment summaries, interest and dividends reach the ATO automatically, but we still need to know they exist, and the ATO's figures are not always complete.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00"/>
        <w:gridCol w:w="6438"/>
      </w:tblGrid>
      <w:tr>
        <w:tc>
          <w:tcPr>
            <w:tcW w:type="dxa" w:w="3200"/>
            <w:tcBorders>
              <w:top w:val="none" w:color="FFFFFF" w:sz="0"/>
              <w:left w:val="none" w:color="FFFFFF" w:sz="0"/>
              <w:bottom w:val="none" w:color="FFFFFF" w:sz="0"/>
              <w:right w:val="none" w:color="FFFFFF" w:sz="0"/>
            </w:tcBorders>
            <w:tcMar>
              <w:top w:type="dxa" w:w="80"/>
              <w:bottom w:type="dxa" w:w="80"/>
            </w:tcMar>
          </w:tcPr>
          <w:p>
            <w:pPr>
              <w:spacing w:after="0" w:before="0" w:line="276"/>
            </w:pPr>
            <w:r>
              <w:rPr>
                <w:rFonts w:ascii="Arial" w:cs="Arial" w:eastAsia="Arial" w:hAnsi="Arial"/>
                <w:b/>
                <w:bCs/>
                <w:color w:val="0B1F4B"/>
                <w:sz w:val="20"/>
                <w:szCs w:val="20"/>
              </w:rPr>
              <w:t xml:space="preserve">Name</w:t>
            </w:r>
          </w:p>
        </w:tc>
        <w:tc>
          <w:tcPr>
            <w:tcW w:type="dxa" w:w="6438"/>
            <w:tcBorders>
              <w:top w:val="none" w:color="FFFFFF" w:sz="0"/>
              <w:left w:val="none" w:color="FFFFFF" w:sz="0"/>
              <w:bottom w:val="single" w:color="5B6B80" w:sz="6"/>
              <w:right w:val="none" w:color="FFFFFF" w:sz="0"/>
            </w:tcBorders>
            <w:shd w:fill="D9E9FF" w:color="auto" w:val="clear"/>
            <w:tcMar>
              <w:top w:type="dxa" w:w="80"/>
              <w:left w:type="dxa" w:w="100"/>
              <w:bottom w:type="dxa" w:w="80"/>
            </w:tcMar>
          </w:tcPr>
          <w:p>
            <w:pPr>
              <w:spacing w:after="0" w:before="0" w:line="276"/>
            </w:pPr>
            <w:r>
              <w:rPr>
                <w:rFonts w:ascii="Arial" w:cs="Arial" w:eastAsia="Arial" w:hAnsi="Arial"/>
                <w:color w:val="1C2A44"/>
                <w:sz w:val="20"/>
                <w:szCs w:val="20"/>
              </w:rPr>
              <w:t xml:space="preserve"> </w:t>
            </w: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00"/>
        <w:gridCol w:w="6438"/>
      </w:tblGrid>
      <w:tr>
        <w:tc>
          <w:tcPr>
            <w:tcW w:type="dxa" w:w="3200"/>
            <w:tcBorders>
              <w:top w:val="none" w:color="FFFFFF" w:sz="0"/>
              <w:left w:val="none" w:color="FFFFFF" w:sz="0"/>
              <w:bottom w:val="none" w:color="FFFFFF" w:sz="0"/>
              <w:right w:val="none" w:color="FFFFFF" w:sz="0"/>
            </w:tcBorders>
            <w:tcMar>
              <w:top w:type="dxa" w:w="80"/>
              <w:bottom w:type="dxa" w:w="80"/>
            </w:tcMar>
          </w:tcPr>
          <w:p>
            <w:pPr>
              <w:spacing w:after="0" w:before="0" w:line="276"/>
            </w:pPr>
            <w:r>
              <w:rPr>
                <w:rFonts w:ascii="Arial" w:cs="Arial" w:eastAsia="Arial" w:hAnsi="Arial"/>
                <w:b/>
                <w:bCs/>
                <w:color w:val="0B1F4B"/>
                <w:sz w:val="20"/>
                <w:szCs w:val="20"/>
              </w:rPr>
              <w:t xml:space="preserve">Occupation</w:t>
            </w:r>
          </w:p>
        </w:tc>
        <w:tc>
          <w:tcPr>
            <w:tcW w:type="dxa" w:w="6438"/>
            <w:tcBorders>
              <w:top w:val="none" w:color="FFFFFF" w:sz="0"/>
              <w:left w:val="none" w:color="FFFFFF" w:sz="0"/>
              <w:bottom w:val="single" w:color="5B6B80" w:sz="6"/>
              <w:right w:val="none" w:color="FFFFFF" w:sz="0"/>
            </w:tcBorders>
            <w:shd w:fill="D9E9FF" w:color="auto" w:val="clear"/>
            <w:tcMar>
              <w:top w:type="dxa" w:w="80"/>
              <w:left w:type="dxa" w:w="100"/>
              <w:bottom w:type="dxa" w:w="80"/>
            </w:tcMar>
          </w:tcPr>
          <w:p>
            <w:pPr>
              <w:spacing w:after="0" w:before="0" w:line="276"/>
            </w:pPr>
            <w:r>
              <w:rPr>
                <w:rFonts w:ascii="Arial" w:cs="Arial" w:eastAsia="Arial" w:hAnsi="Arial"/>
                <w:color w:val="1C2A44"/>
                <w:sz w:val="20"/>
                <w:szCs w:val="20"/>
              </w:rPr>
              <w:t xml:space="preserve"> </w:t>
            </w: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00"/>
        <w:gridCol w:w="6438"/>
      </w:tblGrid>
      <w:tr>
        <w:tc>
          <w:tcPr>
            <w:tcW w:type="dxa" w:w="3200"/>
            <w:tcBorders>
              <w:top w:val="none" w:color="FFFFFF" w:sz="0"/>
              <w:left w:val="none" w:color="FFFFFF" w:sz="0"/>
              <w:bottom w:val="none" w:color="FFFFFF" w:sz="0"/>
              <w:right w:val="none" w:color="FFFFFF" w:sz="0"/>
            </w:tcBorders>
            <w:tcMar>
              <w:top w:type="dxa" w:w="80"/>
              <w:bottom w:type="dxa" w:w="80"/>
            </w:tcMar>
          </w:tcPr>
          <w:p>
            <w:pPr>
              <w:spacing w:after="0" w:before="0" w:line="276"/>
            </w:pPr>
            <w:r>
              <w:rPr>
                <w:rFonts w:ascii="Arial" w:cs="Arial" w:eastAsia="Arial" w:hAnsi="Arial"/>
                <w:b/>
                <w:bCs/>
                <w:color w:val="0B1F4B"/>
                <w:sz w:val="20"/>
                <w:szCs w:val="20"/>
              </w:rPr>
              <w:t xml:space="preserve">Year ended 30 June</w:t>
            </w:r>
          </w:p>
        </w:tc>
        <w:tc>
          <w:tcPr>
            <w:tcW w:type="dxa" w:w="6438"/>
            <w:tcBorders>
              <w:top w:val="none" w:color="FFFFFF" w:sz="0"/>
              <w:left w:val="none" w:color="FFFFFF" w:sz="0"/>
              <w:bottom w:val="single" w:color="5B6B80" w:sz="6"/>
              <w:right w:val="none" w:color="FFFFFF" w:sz="0"/>
            </w:tcBorders>
            <w:shd w:fill="D9E9FF" w:color="auto" w:val="clear"/>
            <w:tcMar>
              <w:top w:type="dxa" w:w="80"/>
              <w:left w:type="dxa" w:w="100"/>
              <w:bottom w:type="dxa" w:w="80"/>
            </w:tcMar>
          </w:tcPr>
          <w:p>
            <w:pPr>
              <w:spacing w:after="0" w:before="0" w:line="276"/>
            </w:pPr>
            <w:r>
              <w:rPr>
                <w:rFonts w:ascii="Arial" w:cs="Arial" w:eastAsia="Arial" w:hAnsi="Arial"/>
                <w:color w:val="1C2A44"/>
                <w:sz w:val="20"/>
                <w:szCs w:val="20"/>
              </w:rPr>
              <w:t xml:space="preserve"> </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Employment and government income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Income statements or payment summaries from every employer (check myGov shows each as ‘tax ready’)</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Allowances, bonuses, commissions and directors’ fees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Lump sum payments: unused leave, redundancy, employment termination payments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Employee share scheme statements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Reportable fringe benefits and reportable employer super contributions (on the income statement)</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Centrelink, JobSeeker, Parenting Payment, Youth Allowance, Austudy, Age Pension statements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Paid parental leave, workers’ compensation, income protection payouts</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Investment income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Bank interest, including joint accounts, term deposits and children’s accounts you control</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Dividend statements, including reinvested dividends (DRP)</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Managed fund and ETF annual tax statements (usually issued August to September)</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Cryptocurrency: every disposal, swap and reward during the year</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Trust distributions and partnership income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Foreign income: New Zealand or other overseas wages, interest, rent, pensions, and the foreign tax paid</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Property, business and capital gains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20" w:line="260"/>
              <w:ind w:left="0"/>
            </w:pPr>
            <w:r>
              <w:rPr>
                <w:rFonts w:ascii="Arial" w:cs="Arial" w:eastAsia="Arial" w:hAnsi="Arial"/>
                <w:b w:val="false"/>
                <w:bCs w:val="false"/>
                <w:color w:val="1C2A44"/>
                <w:sz w:val="20"/>
                <w:szCs w:val="20"/>
              </w:rPr>
              <w:t xml:space="preserve">Rental property</w:t>
            </w:r>
          </w:p>
          <w:p>
            <w:pPr>
              <w:spacing w:after="0" w:line="240"/>
              <w:ind w:left="0"/>
            </w:pPr>
            <w:r>
              <w:rPr>
                <w:rFonts w:ascii="Arial" w:cs="Arial" w:eastAsia="Arial" w:hAnsi="Arial"/>
                <w:i/>
                <w:iCs/>
                <w:color w:val="5B6B80"/>
                <w:sz w:val="17"/>
                <w:szCs w:val="17"/>
              </w:rPr>
              <w:t xml:space="preserve">Use the Rental Property Checklist for each property.</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20" w:line="260"/>
              <w:ind w:left="0"/>
            </w:pPr>
            <w:r>
              <w:rPr>
                <w:rFonts w:ascii="Arial" w:cs="Arial" w:eastAsia="Arial" w:hAnsi="Arial"/>
                <w:b w:val="false"/>
                <w:bCs w:val="false"/>
                <w:color w:val="1C2A44"/>
                <w:sz w:val="20"/>
                <w:szCs w:val="20"/>
              </w:rPr>
              <w:t xml:space="preserve">Sole trader or contracting income</w:t>
            </w:r>
          </w:p>
          <w:p>
            <w:pPr>
              <w:spacing w:after="0" w:line="240"/>
              <w:ind w:left="0"/>
            </w:pPr>
            <w:r>
              <w:rPr>
                <w:rFonts w:ascii="Arial" w:cs="Arial" w:eastAsia="Arial" w:hAnsi="Arial"/>
                <w:i/>
                <w:iCs/>
                <w:color w:val="5B6B80"/>
                <w:sz w:val="17"/>
                <w:szCs w:val="17"/>
              </w:rPr>
              <w:t xml:space="preserve">Use the Sole Trader Checklist.</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Sales of shares, ETFs, crypto or property: purchase and sale contracts, dates, brokerage and costs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Personal services income and any ABN income reported to the ATO by payers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Sharing economy income: ride share, Airbnb, delivery platforms</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Deductions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20" w:line="260"/>
              <w:ind w:left="0"/>
            </w:pPr>
            <w:r>
              <w:rPr>
                <w:rFonts w:ascii="Arial" w:cs="Arial" w:eastAsia="Arial" w:hAnsi="Arial"/>
                <w:b w:val="false"/>
                <w:bCs w:val="false"/>
                <w:color w:val="1C2A44"/>
                <w:sz w:val="20"/>
                <w:szCs w:val="20"/>
              </w:rPr>
              <w:t xml:space="preserve">Car expenses</w:t>
            </w:r>
          </w:p>
          <w:p>
            <w:pPr>
              <w:spacing w:after="0" w:line="240"/>
              <w:ind w:left="0"/>
            </w:pPr>
            <w:r>
              <w:rPr>
                <w:rFonts w:ascii="Arial" w:cs="Arial" w:eastAsia="Arial" w:hAnsi="Arial"/>
                <w:i/>
                <w:iCs/>
                <w:color w:val="5B6B80"/>
                <w:sz w:val="17"/>
                <w:szCs w:val="17"/>
              </w:rPr>
              <w:t xml:space="preserve">Cents-per-km diary or 12-week logbook plus running costs; templates on taxdoctorz.com.au/resources.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Work travel: airfares, accommodation, meals, and the travel diary for trips of six nights or more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Uniforms, occupation-specific and protective clothing, laundry, sun protection</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Self-education and short courses connected to your current job</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Memberships, registrations, licences, subscriptions and union fees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Tools, equipment, laptops, phones and their repair; items over $300 are depreciated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20" w:line="260"/>
              <w:ind w:left="0"/>
            </w:pPr>
            <w:r>
              <w:rPr>
                <w:rFonts w:ascii="Arial" w:cs="Arial" w:eastAsia="Arial" w:hAnsi="Arial"/>
                <w:b w:val="false"/>
                <w:bCs w:val="false"/>
                <w:color w:val="1C2A44"/>
                <w:sz w:val="20"/>
                <w:szCs w:val="20"/>
              </w:rPr>
              <w:t xml:space="preserve">Working from home</w:t>
            </w:r>
          </w:p>
          <w:p>
            <w:pPr>
              <w:spacing w:after="0" w:line="240"/>
              <w:ind w:left="0"/>
            </w:pPr>
            <w:r>
              <w:rPr>
                <w:rFonts w:ascii="Arial" w:cs="Arial" w:eastAsia="Arial" w:hAnsi="Arial"/>
                <w:i/>
                <w:iCs/>
                <w:color w:val="5B6B80"/>
                <w:sz w:val="17"/>
                <w:szCs w:val="17"/>
              </w:rPr>
              <w:t xml:space="preserve">Hours record for the fixed-rate method, or receipts for actual costs; template on the Resources page.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Phone and internet: the work-related percentage from a four-week record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Income protection insurance premiums (outside super)</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Personal super contributions, with the fund’s acknowledgment of your notice of intent</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Donations of $2 or more to deductible gift recipients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Last year’s tax agent fee and the cost of managing your tax affairs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Interest on money borrowed to invest, and investment subscriptions</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Offsets, levies and other items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Private health insurance statement (usually automatic, but check the ATO has it)</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Spouse’s name, date of birth and taxable income, or a reasonable estimate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Number of dependent children</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HELP, VET Student Loan or other study loan (the balance is on myGov)</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Medicare levy exemption certificate, if you are not entitled to Medicare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Zone or overseas forces service, if applicable</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Days you were outside Australia and any change of residency during the year</w:t>
            </w:r>
          </w:p>
        </w:tc>
      </w:tr>
    </w:tbl>
    <w:p>
      <w:pPr>
        <w:keepNext/>
        <w:pBdr>
          <w:bottom w:val="single" w:color="E5EAF2" w:sz="6" w:space="4"/>
        </w:pBdr>
        <w:spacing w:after="100" w:before="240" w:line="276"/>
      </w:pPr>
      <w:r>
        <w:rPr>
          <w:rFonts w:ascii="Arial" w:cs="Arial" w:eastAsia="Arial" w:hAnsi="Arial"/>
          <w:b/>
          <w:bCs/>
          <w:caps/>
          <w:color w:val="0B1F4B"/>
          <w:spacing w:val="20"/>
          <w:sz w:val="20"/>
          <w:szCs w:val="20"/>
        </w:rPr>
        <w:t xml:space="preserve">Records to keep for five years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0"/>
        <w:gridCol w:w="9158"/>
      </w:tblGrid>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Receipts, invoices and bank statements for every deduction over $10, or the total over $300</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Logbooks, diaries and hours records</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Contracts and settlement statements for anything you have bought or sold</w:t>
            </w:r>
          </w:p>
        </w:tc>
      </w:tr>
      <w:tr>
        <w:trPr>
          <w:cantSplit/>
        </w:trPr>
        <w:tc>
          <w:tcPr>
            <w:tcW w:type="dxa" w:w="480"/>
            <w:tcBorders>
              <w:top w:val="none" w:color="FFFFFF" w:sz="0"/>
              <w:left w:val="none" w:color="FFFFFF" w:sz="0"/>
              <w:bottom w:val="none" w:color="FFFFFF" w:sz="0"/>
              <w:right w:val="none" w:color="FFFFFF" w:sz="0"/>
            </w:tcBorders>
            <w:tcMar>
              <w:top w:type="dxa" w:w="100"/>
              <w:left w:type="dxa" w:w="40"/>
              <w:bottom w:type="dxa" w:w="90"/>
              <w:right w:type="dxa" w:w="0"/>
            </w:tcMar>
            <w:vAlign w:val="top"/>
          </w:tcPr>
          <w:tbl>
            <w:tblPr>
              <w:tblW w:type="dxa" w:w="260"/>
              <w:tblBorders>
                <w:top w:val="single" w:color="5B6B80" w:sz="10"/>
                <w:left w:val="single" w:color="5B6B80" w:sz="10"/>
                <w:bottom w:val="single" w:color="5B6B80" w:sz="10"/>
                <w:right w:val="single" w:color="5B6B80" w:sz="10"/>
                <w:insideH w:val="none" w:color="FFFFFF" w:sz="0"/>
                <w:insideV w:val="none" w:color="FFFFFF" w:sz="0"/>
              </w:tblBorders>
            </w:tblPr>
            <w:tblGrid>
              <w:gridCol w:w="260"/>
            </w:tblGrid>
            <w:tr>
              <w:trPr>
                <w:trHeight w:val="260" w:hRule="exact"/>
              </w:trPr>
              <w:tc>
                <w:tcPr>
                  <w:tcW w:type="dxa" w:w="260"/>
                  <w:tcBorders>
                    <w:top w:val="single" w:color="5B6B80" w:sz="10"/>
                    <w:left w:val="single" w:color="5B6B80" w:sz="10"/>
                    <w:bottom w:val="single" w:color="5B6B80" w:sz="10"/>
                    <w:right w:val="single" w:color="5B6B80" w:sz="10"/>
                  </w:tcBorders>
                  <w:tcMar>
                    <w:top w:type="dxa" w:w="0"/>
                    <w:left w:type="dxa" w:w="0"/>
                    <w:bottom w:type="dxa" w:w="0"/>
                    <w:right w:type="dxa" w:w="0"/>
                  </w:tcMar>
                </w:tcPr>
                <w:p>
                  <w:pPr>
                    <w:spacing w:after="0" w:before="0" w:line="200" w:lineRule="exact"/>
                  </w:pPr>
                  <w:r>
                    <w:rPr>
                      <w:rFonts w:ascii="Arial" w:cs="Arial" w:eastAsia="Arial" w:hAnsi="Arial"/>
                      <w:sz w:val="2"/>
                      <w:szCs w:val="2"/>
                    </w:rPr>
                    <w:t xml:space="preserve"/>
                  </w:r>
                </w:p>
              </w:tc>
            </w:tr>
          </w:tbl>
          <w:p/>
        </w:tc>
        <w:tc>
          <w:tcPr>
            <w:tcW w:type="dxa" w:w="9158"/>
            <w:tcBorders>
              <w:top w:val="none" w:color="FFFFFF" w:sz="0"/>
              <w:left w:val="none" w:color="FFFFFF" w:sz="0"/>
              <w:bottom w:val="single" w:color="E5EAF2" w:sz="4"/>
              <w:right w:val="none" w:color="FFFFFF" w:sz="0"/>
            </w:tcBorders>
            <w:tcMar>
              <w:top w:type="dxa" w:w="90"/>
              <w:left w:type="dxa" w:w="160"/>
              <w:bottom w:type="dxa" w:w="90"/>
              <w:right w:type="dxa" w:w="80"/>
            </w:tcMar>
            <w:vAlign w:val="top"/>
          </w:tcPr>
          <w:p>
            <w:pPr>
              <w:spacing w:after="0" w:line="260"/>
              <w:ind w:left="0"/>
            </w:pPr>
            <w:r>
              <w:rPr>
                <w:rFonts w:ascii="Arial" w:cs="Arial" w:eastAsia="Arial" w:hAnsi="Arial"/>
                <w:b w:val="false"/>
                <w:bCs w:val="false"/>
                <w:color w:val="1C2A44"/>
                <w:sz w:val="20"/>
                <w:szCs w:val="20"/>
              </w:rPr>
              <w:t xml:space="preserve">The lodged return and the notice of assessment</w:t>
            </w:r>
          </w:p>
        </w:tc>
      </w:tr>
    </w:tbl>
    <w:sectPr>
      <w:headerReference w:type="default" r:id="rId7"/>
      <w:footerReference w:type="default" r:id="rId8"/>
      <w:pgSz w:w="11906" w:h="16838" w:orient="portrait"/>
      <w:pgMar w:top="1300" w:right="1134" w:bottom="1100" w:left="1134"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AF2" w:sz="6" w:space="6"/>
      </w:pBdr>
      <w:spacing w:after="40" w:before="0" w:line="276"/>
      <w:jc w:val="center"/>
    </w:pPr>
    <w:r>
      <w:rPr>
        <w:rFonts w:ascii="Arial" w:cs="Arial" w:eastAsia="Arial" w:hAnsi="Arial"/>
        <w:color w:val="5B6B80"/>
        <w:sz w:val="14"/>
        <w:szCs w:val="14"/>
      </w:rPr>
      <w:t xml:space="preserve">Tax Doctorz Pty Ltd · Registered Tax Agent 26343636 · Chartered Accountants ANZ · info@taxdoctorz.com.au · 0478 905 605 · taxdoctorz.com.au</w:t>
    </w:r>
  </w:p>
  <w:p>
    <w:pPr>
      <w:spacing w:after="0"/>
      <w:jc w:val="center"/>
    </w:pPr>
    <w:r>
      <w:rPr>
        <w:rFonts w:ascii="Arial" w:cs="Arial" w:eastAsia="Arial" w:hAnsi="Arial"/>
        <w:color w:val="5B6B80"/>
        <w:sz w:val="14"/>
        <w:szCs w:val="14"/>
      </w:rPr>
      <w:t xml:space="preserve">Page </w:t>
    </w:r>
    <w:r>
      <w:rPr>
        <w:rFonts w:ascii="Arial" w:cs="Arial" w:eastAsia="Arial" w:hAnsi="Arial"/>
        <w:color w:val="5B6B80"/>
        <w:sz w:val="14"/>
        <w:szCs w:val="14"/>
      </w:rPr>
      <w:fldChar w:fldCharType="begin"/>
      <w:instrText xml:space="preserve">PAGE</w:instrText>
      <w:fldChar w:fldCharType="separate"/>
      <w:fldChar w:fldCharType="end"/>
    </w:r>
    <w:r>
      <w:rPr>
        <w:rFonts w:ascii="Arial" w:cs="Arial" w:eastAsia="Arial" w:hAnsi="Arial"/>
        <w:color w:val="5B6B80"/>
        <w:sz w:val="14"/>
        <w:szCs w:val="14"/>
      </w:rPr>
      <w:t xml:space="preserve"> of </w:t>
    </w:r>
    <w:r>
      <w:rPr>
        <w:rFonts w:ascii="Arial" w:cs="Arial" w:eastAsia="Arial" w:hAnsi="Arial"/>
        <w:color w:val="5B6B80"/>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E5EAF2" w:sz="6"/>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bottom w:type="dxa" w:w="100"/>
          </w:tcMar>
        </w:tcPr>
        <w:p>
          <w:pPr>
            <w:spacing w:after="0"/>
          </w:pPr>
          <w:r>
            <w:drawing>
              <wp:inline distT="0" distB="0" distL="0" distR="0">
                <wp:extent cx="1428750" cy="21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19075"/>
                        </a:xfrm>
                        <a:prstGeom prst="rect">
                          <a:avLst/>
                        </a:prstGeom>
                      </pic:spPr>
                    </pic:pic>
                  </a:graphicData>
                </a:graphic>
              </wp:inline>
            </w:drawing>
          </w:r>
        </w:p>
      </w:tc>
      <w:tc>
        <w:tcPr>
          <w:tcW w:type="dxa" w:w="4819"/>
          <w:tcBorders>
            <w:top w:val="none" w:color="FFFFFF" w:sz="0"/>
            <w:left w:val="none" w:color="FFFFFF" w:sz="0"/>
            <w:bottom w:val="none" w:color="FFFFFF" w:sz="0"/>
            <w:right w:val="none" w:color="FFFFFF" w:sz="0"/>
          </w:tcBorders>
          <w:tcMar>
            <w:bottom w:type="dxa" w:w="100"/>
          </w:tcMar>
          <w:vAlign w:val="center"/>
        </w:tcPr>
        <w:p>
          <w:pPr>
            <w:spacing w:after="0" w:before="0" w:line="276"/>
            <w:jc w:val="right"/>
          </w:pPr>
          <w:r>
            <w:rPr>
              <w:rFonts w:ascii="Arial" w:cs="Arial" w:eastAsia="Arial" w:hAnsi="Arial"/>
              <w:b/>
              <w:bCs/>
              <w:caps/>
              <w:color w:val="5B6B80"/>
              <w:spacing w:val="24"/>
              <w:sz w:val="14"/>
              <w:szCs w:val="14"/>
            </w:rPr>
            <w:t xml:space="preserve">Chartered Accountants · Tax &amp; Business Advisory</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2A4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be399ee2213fd7876d32e977ba5d3832791b33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2026-09-21T04:32:37.253Z</dcterms:created>
  <dcterms:modified xsi:type="dcterms:W3CDTF">2026-09-21T04:32:37.253Z</dcterms:modified>
</cp:coreProperties>
</file>

<file path=docProps/custom.xml><?xml version="1.0" encoding="utf-8"?>
<Properties xmlns="http://schemas.openxmlformats.org/officeDocument/2006/custom-properties" xmlns:vt="http://schemas.openxmlformats.org/officeDocument/2006/docPropsVTypes"/>
</file>