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/>
      </w:pPr>
      <w:r>
        <w:rPr>
          <w:rFonts w:ascii="Arial" w:cs="Arial" w:eastAsia="Arial" w:hAnsi="Arial"/>
          <w:b/>
          <w:bCs/>
          <w:color w:val="0B1F4B"/>
          <w:sz w:val="44"/>
          <w:szCs w:val="44"/>
        </w:rPr>
        <w:t xml:space="preserve">Pre-30 June Tax Planning Checklist</w:t>
      </w:r>
    </w:p>
    <w:p>
      <w:pPr>
        <w:pBdr>
          <w:bottom w:val="single" w:color="1B64F2" w:sz="12" w:space="8"/>
        </w:pBdr>
        <w:spacing w:after="200" w:before="0" w:line="276"/>
      </w:pPr>
      <w:r>
        <w:rPr>
          <w:rFonts w:ascii="Arial" w:cs="Arial" w:eastAsia="Arial" w:hAnsi="Arial"/>
          <w:b/>
          <w:bCs/>
          <w:caps/>
          <w:color w:val="5B6B80"/>
          <w:spacing w:val="30"/>
          <w:sz w:val="18"/>
          <w:szCs w:val="18"/>
        </w:rPr>
        <w:t xml:space="preserve">The decisions to make before the financial year ends</w:t>
      </w:r>
    </w:p>
    <w:p>
      <w:pPr>
        <w:spacing w:after="160" w:before="0" w:line="276"/>
      </w:pPr>
      <w:r>
        <w:rPr>
          <w:rFonts w:ascii="Arial" w:cs="Arial" w:eastAsia="Arial" w:hAnsi="Arial"/>
          <w:i/>
          <w:iCs/>
          <w:color w:val="5B6B80"/>
          <w:sz w:val="19"/>
          <w:szCs w:val="19"/>
        </w:rPr>
        <w:t xml:space="preserve">Most tax is decided by what happens before 30 June, not by how the return is prepared afterwards. Work through this list in May; some items need weeks to arrange. Every item is a decision with trade-offs, so talk to us before acting on the ones marked with a note.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Name / entity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0B1F4B"/>
                <w:sz w:val="20"/>
                <w:szCs w:val="20"/>
              </w:rPr>
              <w:t xml:space="preserve">Year ending 30 June</w:t>
            </w:r>
          </w:p>
        </w:tc>
        <w:tc>
          <w:tcPr>
            <w:tcW w:type="dxa" w:w="6438"/>
            <w:tcBorders>
              <w:top w:val="none" w:color="FFFFFF" w:sz="0"/>
              <w:left w:val="none" w:color="FFFFFF" w:sz="0"/>
              <w:bottom w:val="single" w:color="5B6B80" w:sz="6"/>
              <w:right w:val="none" w:color="FFFFFF" w:sz="0"/>
            </w:tcBorders>
            <w:shd w:fill="D9E9FF" w:color="auto" w:val="clear"/>
            <w:tcMar>
              <w:top w:type="dxa" w:w="80"/>
              <w:left w:type="dxa" w:w="100"/>
              <w:bottom w:type="dxa" w:w="8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C2A44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Superannuation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Personal concessional contributions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Must reach the fund by 30 June, and need a notice of intent acknowledged before you lodge. Check the current cap on our Tax Facts page and whether unused cap from earlier years is available to you.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Employer super for the June quarter paid before 30 June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Deductible in the year it is received by the fund, not the year it is due.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Spouse contributions and the government co-contribution, if eligible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Non-concessional contributions and the bring-forward rule, if you are moving larger sums into super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Income and deductions timing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Prepay deductible expenses for up to 12 months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Interest on investment loans, insurance, subscriptions, rent. Small businesses and individuals can claim the prepayment in full.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Bring forward repairs, maintenance and purchases you were going to make in July anyway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Defer invoicing or income where it is genuinely within your control and the cash flow allows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Income protection insurance premiums paid before 30 June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Donations to deductible gift recipients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Business assets and stock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Asset purchases: check the current instant asset write-off threshold and the small-business rules before buying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The asset must be installed and ready to use by 30 June, not just ordered.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Write off bad debts in the accounts before 30 June (the debt must actually be bad, not just old)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Stocktake: value stock at cost, market or replacement, and write off obsolete lines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Scrap or dispose of assets no longer used so the remaining value is written off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Review the depreciation schedule for anything that can be pooled or written off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Companies, trusts and loans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Trust distribution resolution signed before 30 June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Without it the trustee is taxed at the top rate. Decide who receives income and capital gains, and check the beneficiaries’ other income.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/>
                <w:bCs/>
                <w:color w:val="1C2A44"/>
                <w:sz w:val="20"/>
                <w:szCs w:val="20"/>
              </w:rPr>
              <w:t xml:space="preserve">Division 7A: minimum loan repayments made, or new loans documented before the company’s return is due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Dividends: whether to declare a dividend before 30 June and the franking credits available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Directors’ fees and bonuses: resolved and, where needed, paid before 30 June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Unpaid present entitlements to companies from trusts, and how they will be dealt with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Investments and capital gains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2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Capital gains and losses: review what has been sold this year and whether realising a loss before 30 June is worthwhile</w:t>
            </w:r>
          </w:p>
          <w:p>
            <w:pPr>
              <w:spacing w:after="0" w:line="240"/>
              <w:ind w:left="0"/>
            </w:pPr>
            <w:r>
              <w:rPr>
                <w:rFonts w:ascii="Arial" w:cs="Arial" w:eastAsia="Arial" w:hAnsi="Arial"/>
                <w:i/>
                <w:iCs/>
                <w:color w:val="5B6B80"/>
                <w:sz w:val="17"/>
                <w:szCs w:val="17"/>
              </w:rPr>
              <w:t xml:space="preserve">Contract date, not settlement, decides the year. Selling and buying back only for the loss does not work.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Assets held close to 12 months: waiting can halve the taxable gain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Rental properties: prepay interest, bring forward repairs, and obtain a depreciation schedule if you do not have one</w:t>
            </w:r>
          </w:p>
        </w:tc>
      </w:tr>
    </w:tbl>
    <w:p>
      <w:pPr>
        <w:keepNext/>
        <w:pBdr>
          <w:bottom w:val="single" w:color="E5EAF2" w:sz="6" w:space="4"/>
        </w:pBdr>
        <w:spacing w:after="100" w:before="240" w:line="276"/>
      </w:pPr>
      <w:r>
        <w:rPr>
          <w:rFonts w:ascii="Arial" w:cs="Arial" w:eastAsia="Arial" w:hAnsi="Arial"/>
          <w:b/>
          <w:bCs/>
          <w:caps/>
          <w:color w:val="0B1F4B"/>
          <w:spacing w:val="20"/>
          <w:sz w:val="20"/>
          <w:szCs w:val="20"/>
        </w:rPr>
        <w:t xml:space="preserve">Records and housekeeping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0"/>
        <w:gridCol w:w="9158"/>
      </w:tblGrid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Vehicle logbook: start one now if yours is more than five years old or your use has changed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Home office hours record kept for the whole year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PAYG instalments: vary the June instalment if income has dropped, and avoid the penalty for under-varying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Review your structure: is the sole trader, company or trust still right for next year?</w:t>
            </w:r>
          </w:p>
        </w:tc>
      </w:tr>
      <w:tr>
        <w:trPr>
          <w:cantSplit/>
        </w:trPr>
        <w:tc>
          <w:tcPr>
            <w:tcW w:type="dxa" w:w="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40"/>
              <w:bottom w:type="dxa" w:w="90"/>
              <w:right w:type="dxa" w:w="0"/>
            </w:tcMar>
            <w:vAlign w:val="top"/>
          </w:tcPr>
          <w:tbl>
            <w:tblPr>
              <w:tblW w:type="dxa" w:w="260"/>
              <w:tblBorders>
                <w:top w:val="single" w:color="5B6B80" w:sz="10"/>
                <w:left w:val="single" w:color="5B6B80" w:sz="10"/>
                <w:bottom w:val="single" w:color="5B6B80" w:sz="10"/>
                <w:right w:val="single" w:color="5B6B80" w:sz="10"/>
                <w:insideH w:val="none" w:color="FFFFFF" w:sz="0"/>
                <w:insideV w:val="none" w:color="FFFFFF" w:sz="0"/>
              </w:tblBorders>
            </w:tblPr>
            <w:tblGrid>
              <w:gridCol w:w="260"/>
            </w:tblGrid>
            <w:tr>
              <w:trPr>
                <w:trHeight w:val="260" w:hRule="exact"/>
              </w:trPr>
              <w:tc>
                <w:tcPr>
                  <w:tcW w:type="dxa" w:w="260"/>
                  <w:tcBorders>
                    <w:top w:val="single" w:color="5B6B80" w:sz="10"/>
                    <w:left w:val="single" w:color="5B6B80" w:sz="10"/>
                    <w:bottom w:val="single" w:color="5B6B80" w:sz="10"/>
                    <w:right w:val="single" w:color="5B6B80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00" w:lineRule="exact"/>
                  </w:pPr>
                  <w:r>
                    <w:rPr>
                      <w:rFonts w:ascii="Arial" w:cs="Arial" w:eastAsia="Arial" w:hAnsi="Arial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9158"/>
            <w:tcBorders>
              <w:top w:val="none" w:color="FFFFFF" w:sz="0"/>
              <w:left w:val="none" w:color="FFFFFF" w:sz="0"/>
              <w:bottom w:val="single" w:color="E5EAF2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80"/>
            </w:tcMar>
            <w:vAlign w:val="top"/>
          </w:tcPr>
          <w:p>
            <w:pPr>
              <w:spacing w:after="0" w:line="260"/>
              <w:ind w:left="0"/>
            </w:pPr>
            <w:r>
              <w:rPr>
                <w:rFonts w:ascii="Arial" w:cs="Arial" w:eastAsia="Arial" w:hAnsi="Arial"/>
                <w:b w:val="false"/>
                <w:bCs w:val="false"/>
                <w:color w:val="1C2A44"/>
                <w:sz w:val="20"/>
                <w:szCs w:val="20"/>
              </w:rPr>
              <w:t xml:space="preserve">Book a planning conversation with us before mid-June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300" w:right="1134" w:bottom="1100" w:left="1134" w:header="500" w:footer="5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5EAF2" w:sz="6" w:space="6"/>
      </w:pBdr>
      <w:spacing w:after="40" w:before="0" w:line="276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Tax Doctorz Pty Ltd · Registered Tax Agent 26343636 · Chartered Accountants ANZ · info@taxdoctorz.com.au · 0478 905 605 · taxdoctorz.com.au</w:t>
    </w:r>
  </w:p>
  <w:p>
    <w:pPr>
      <w:spacing w:after="0"/>
      <w:jc w:val="center"/>
    </w:pPr>
    <w:r>
      <w:rPr>
        <w:rFonts w:ascii="Arial" w:cs="Arial" w:eastAsia="Arial" w:hAnsi="Arial"/>
        <w:color w:val="5B6B80"/>
        <w:sz w:val="14"/>
        <w:szCs w:val="14"/>
      </w:rPr>
      <w:t xml:space="preserve">Page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B6B80"/>
        <w:sz w:val="14"/>
        <w:szCs w:val="14"/>
      </w:rPr>
      <w:t xml:space="preserve"> of </w:t>
    </w:r>
    <w:r>
      <w:rPr>
        <w:rFonts w:ascii="Arial" w:cs="Arial" w:eastAsia="Arial" w:hAnsi="Arial"/>
        <w:color w:val="5B6B80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E5EAF2" w:sz="6"/>
        <w:right w:val="none" w:color="FFFFFF" w:sz="0"/>
        <w:insideH w:val="none" w:color="FFFFFF" w:sz="0"/>
        <w:insideV w:val="none" w:color="FFFFFF" w:sz="0"/>
      </w:tblBorders>
    </w:tblPr>
    <w:tblGrid>
      <w:gridCol w:w="4819"/>
      <w:gridCol w:w="4819"/>
    </w:tblGrid>
    <w:tr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</w:tcPr>
        <w:p>
          <w:pPr>
            <w:spacing w:after="0"/>
          </w:pPr>
          <w:r>
            <w:drawing>
              <wp:inline distT="0" distB="0" distL="0" distR="0">
                <wp:extent cx="1428750" cy="219075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219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81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bottom w:type="dxa" w:w="100"/>
          </w:tcMar>
          <w:vAlign w:val="center"/>
        </w:tcPr>
        <w:p>
          <w:pPr>
            <w:spacing w:after="0" w:before="0" w:line="276"/>
            <w:jc w:val="right"/>
          </w:pPr>
          <w:r>
            <w:rPr>
              <w:rFonts w:ascii="Arial" w:cs="Arial" w:eastAsia="Arial" w:hAnsi="Arial"/>
              <w:b/>
              <w:bCs/>
              <w:caps/>
              <w:color w:val="5B6B80"/>
              <w:spacing w:val="24"/>
              <w:sz w:val="14"/>
              <w:szCs w:val="14"/>
            </w:rPr>
            <w:t xml:space="preserve">Chartered Accountants · Tax &amp; Business Advisory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C2A4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be399ee2213fd7876d32e977ba5d3832791b33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2026-09-21T04:32:37.265Z</dcterms:created>
  <dcterms:modified xsi:type="dcterms:W3CDTF">2026-09-21T04:32:37.265Z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