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40"/>
      </w:pPr>
      <w:r>
        <w:rPr>
          <w:rFonts w:ascii="Arial" w:cs="Arial" w:eastAsia="Arial" w:hAnsi="Arial"/>
          <w:b/>
          <w:bCs/>
          <w:color w:val="0B1F4B"/>
          <w:sz w:val="44"/>
          <w:szCs w:val="44"/>
        </w:rPr>
        <w:t xml:space="preserve">Share and Investment Register</w:t>
      </w:r>
    </w:p>
    <w:p>
      <w:pPr>
        <w:pBdr>
          <w:bottom w:val="single" w:color="1B64F2" w:sz="12" w:space="8"/>
        </w:pBdr>
        <w:spacing w:after="200" w:before="0" w:line="276"/>
      </w:pPr>
      <w:r>
        <w:rPr>
          <w:rFonts w:ascii="Arial" w:cs="Arial" w:eastAsia="Arial" w:hAnsi="Arial"/>
          <w:b/>
          <w:bCs/>
          <w:caps/>
          <w:color w:val="5B6B80"/>
          <w:spacing w:val="30"/>
          <w:sz w:val="18"/>
          <w:szCs w:val="18"/>
        </w:rPr>
        <w:t xml:space="preserve">Shares, ETFs, managed funds and crypto: purchases, reinvestments and sales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5B6B80"/>
          <w:sz w:val="19"/>
          <w:szCs w:val="19"/>
        </w:rPr>
        <w:t xml:space="preserve">Capital gains are calculated parcel by parcel, so every purchase, reinvested dividend, share plan allocation and sale needs its own line. Keep this register current and the year-end return is straightforward; reconstruct it years later and it rarely is.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4B"/>
                <w:sz w:val="20"/>
                <w:szCs w:val="20"/>
              </w:rPr>
              <w:t xml:space="preserve">Name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5B6B80" w:sz="6"/>
              <w:right w:val="none" w:color="FFFFFF" w:sz="0"/>
            </w:tcBorders>
            <w:shd w:fill="D9E9FF" w:color="auto" w:val="clear"/>
            <w:tcMar>
              <w:top w:type="dxa" w:w="80"/>
              <w:left w:type="dxa" w:w="10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2A44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4B"/>
                <w:sz w:val="20"/>
                <w:szCs w:val="20"/>
              </w:rPr>
              <w:t xml:space="preserve">Broker / platform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5B6B80" w:sz="6"/>
              <w:right w:val="none" w:color="FFFFFF" w:sz="0"/>
            </w:tcBorders>
            <w:shd w:fill="D9E9FF" w:color="auto" w:val="clear"/>
            <w:tcMar>
              <w:top w:type="dxa" w:w="80"/>
              <w:left w:type="dxa" w:w="10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2A44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4B"/>
                <w:sz w:val="20"/>
                <w:szCs w:val="20"/>
              </w:rPr>
              <w:t xml:space="preserve">Year ended 30 June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5B6B80" w:sz="6"/>
              <w:right w:val="none" w:color="FFFFFF" w:sz="0"/>
            </w:tcBorders>
            <w:shd w:fill="D9E9FF" w:color="auto" w:val="clear"/>
            <w:tcMar>
              <w:top w:type="dxa" w:w="80"/>
              <w:left w:type="dxa" w:w="10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2A44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Purchases and reinvestments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5B6B80"/>
          <w:sz w:val="19"/>
          <w:szCs w:val="19"/>
        </w:rPr>
        <w:t xml:space="preserve">One line per parcel. Reinvested dividends (DRP) and bonus or rights issues are purchases too.</w:t>
      </w:r>
    </w:p>
    <w:tbl>
      <w:tblPr>
        <w:tblW w:type="dxa" w:w="9638"/>
        <w:tblBorders>
          <w:top w:val="single" w:color="E5EAF2" w:sz="4"/>
          <w:left w:val="single" w:color="E5EAF2" w:sz="4"/>
          <w:bottom w:val="single" w:color="E5EAF2" w:sz="4"/>
          <w:right w:val="single" w:color="E5EAF2" w:sz="4"/>
          <w:insideH w:val="single" w:color="E5EAF2" w:sz="4"/>
          <w:insideV w:val="single" w:color="E5EAF2" w:sz="4"/>
        </w:tblBorders>
      </w:tblPr>
      <w:tblGrid>
        <w:gridCol w:w="1253"/>
        <w:gridCol w:w="2795"/>
        <w:gridCol w:w="1060"/>
        <w:gridCol w:w="1157"/>
        <w:gridCol w:w="1446"/>
        <w:gridCol w:w="1928"/>
      </w:tblGrid>
      <w:tr>
        <w:trPr>
          <w:tblHeader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shd w:fill="F3F6FA" w:color="auto" w:val="clear"/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color w:val="0B1F4B"/>
                <w:spacing w:val="10"/>
                <w:sz w:val="15"/>
                <w:szCs w:val="15"/>
              </w:rPr>
              <w:t xml:space="preserve">Date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shd w:fill="F3F6FA" w:color="auto" w:val="clear"/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color w:val="0B1F4B"/>
                <w:spacing w:val="10"/>
                <w:sz w:val="15"/>
                <w:szCs w:val="15"/>
              </w:rPr>
              <w:t xml:space="preserve">Investment (code / name)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shd w:fill="F3F6FA" w:color="auto" w:val="clear"/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color w:val="0B1F4B"/>
                <w:spacing w:val="10"/>
                <w:sz w:val="15"/>
                <w:szCs w:val="15"/>
              </w:rPr>
              <w:t xml:space="preserve">Units</w:t>
            </w:r>
          </w:p>
        </w:tc>
        <w:tc>
          <w:tcPr>
            <w:tcW w:type="dxa" w:w="1157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shd w:fill="F3F6FA" w:color="auto" w:val="clear"/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color w:val="0B1F4B"/>
                <w:spacing w:val="10"/>
                <w:sz w:val="15"/>
                <w:szCs w:val="15"/>
              </w:rPr>
              <w:t xml:space="preserve">Price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shd w:fill="F3F6FA" w:color="auto" w:val="clear"/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color w:val="0B1F4B"/>
                <w:spacing w:val="10"/>
                <w:sz w:val="15"/>
                <w:szCs w:val="15"/>
              </w:rPr>
              <w:t xml:space="preserve">Brokerage / costs</w:t>
            </w:r>
          </w:p>
        </w:tc>
        <w:tc>
          <w:tcPr>
            <w:tcW w:type="dxa" w:w="192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shd w:fill="F3F6FA" w:color="auto" w:val="clear"/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color w:val="0B1F4B"/>
                <w:spacing w:val="10"/>
                <w:sz w:val="15"/>
                <w:szCs w:val="15"/>
              </w:rPr>
              <w:t xml:space="preserve">Total cost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Sales and disposals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5B6B80"/>
          <w:sz w:val="19"/>
          <w:szCs w:val="19"/>
        </w:rPr>
        <w:t xml:space="preserve">Crypto swaps and using crypto to pay for something are disposals as well as outright sales.</w:t>
      </w:r>
    </w:p>
    <w:tbl>
      <w:tblPr>
        <w:tblW w:type="dxa" w:w="9638"/>
        <w:tblBorders>
          <w:top w:val="single" w:color="E5EAF2" w:sz="4"/>
          <w:left w:val="single" w:color="E5EAF2" w:sz="4"/>
          <w:bottom w:val="single" w:color="E5EAF2" w:sz="4"/>
          <w:right w:val="single" w:color="E5EAF2" w:sz="4"/>
          <w:insideH w:val="single" w:color="E5EAF2" w:sz="4"/>
          <w:insideV w:val="single" w:color="E5EAF2" w:sz="4"/>
        </w:tblBorders>
      </w:tblPr>
      <w:tblGrid>
        <w:gridCol w:w="1253"/>
        <w:gridCol w:w="2795"/>
        <w:gridCol w:w="1060"/>
        <w:gridCol w:w="1446"/>
        <w:gridCol w:w="1638"/>
        <w:gridCol w:w="1446"/>
      </w:tblGrid>
      <w:tr>
        <w:trPr>
          <w:tblHeader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shd w:fill="F3F6FA" w:color="auto" w:val="clear"/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color w:val="0B1F4B"/>
                <w:spacing w:val="10"/>
                <w:sz w:val="15"/>
                <w:szCs w:val="15"/>
              </w:rPr>
              <w:t xml:space="preserve">Date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shd w:fill="F3F6FA" w:color="auto" w:val="clear"/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color w:val="0B1F4B"/>
                <w:spacing w:val="10"/>
                <w:sz w:val="15"/>
                <w:szCs w:val="15"/>
              </w:rPr>
              <w:t xml:space="preserve">Investment (code / name)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shd w:fill="F3F6FA" w:color="auto" w:val="clear"/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color w:val="0B1F4B"/>
                <w:spacing w:val="10"/>
                <w:sz w:val="15"/>
                <w:szCs w:val="15"/>
              </w:rPr>
              <w:t xml:space="preserve">Units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shd w:fill="F3F6FA" w:color="auto" w:val="clear"/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color w:val="0B1F4B"/>
                <w:spacing w:val="10"/>
                <w:sz w:val="15"/>
                <w:szCs w:val="15"/>
              </w:rPr>
              <w:t xml:space="preserve">Proceeds</w:t>
            </w:r>
          </w:p>
        </w:tc>
        <w:tc>
          <w:tcPr>
            <w:tcW w:type="dxa" w:w="163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shd w:fill="F3F6FA" w:color="auto" w:val="clear"/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color w:val="0B1F4B"/>
                <w:spacing w:val="10"/>
                <w:sz w:val="15"/>
                <w:szCs w:val="15"/>
              </w:rPr>
              <w:t xml:space="preserve">Which parcel(s)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shd w:fill="F3F6FA" w:color="auto" w:val="clear"/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color w:val="0B1F4B"/>
                <w:spacing w:val="10"/>
                <w:sz w:val="15"/>
                <w:szCs w:val="15"/>
              </w:rPr>
              <w:t xml:space="preserve">Held &gt; 12 months?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63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63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63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63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63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63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63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63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63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63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63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253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2795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060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638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E5EAF2" w:sz="4"/>
              <w:left w:val="single" w:color="E5EAF2" w:sz="4"/>
              <w:bottom w:val="single" w:color="E5EAF2" w:sz="4"/>
              <w:right w:val="single" w:color="E5EAF2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aps w:val="false"/>
                <w:color w:val="5B6B80"/>
                <w:sz w:val="17"/>
                <w:szCs w:val="17"/>
              </w:rPr>
              <w:t xml:space="preserve"> 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Income statements to keep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Dividend statements, including franking credits and DRP allotments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Managed fund and ETF annual tax statements (AMIT / MIT), which arrive August to September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Share plan (ESS) statements from your employer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Crypto exchange transaction exports for the full year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Broker contract notes for every buy and sell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Corporate actions: demergers, buy-backs, takeovers, capital returns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Foreign shares: the foreign tax withheld on dividends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Records to keep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Keep every contract note and statement for five years after the year you sell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Note the parcel you intend to sell before you sell it, where your broker allows parcel selection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300" w:right="1134" w:bottom="1100" w:left="1134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5EAF2" w:sz="6" w:space="6"/>
      </w:pBdr>
      <w:spacing w:after="40" w:before="0" w:line="276"/>
      <w:jc w:val="center"/>
    </w:pPr>
    <w:r>
      <w:rPr>
        <w:rFonts w:ascii="Arial" w:cs="Arial" w:eastAsia="Arial" w:hAnsi="Arial"/>
        <w:color w:val="5B6B80"/>
        <w:sz w:val="14"/>
        <w:szCs w:val="14"/>
      </w:rPr>
      <w:t xml:space="preserve">Tax Doctorz Pty Ltd · Registered Tax Agent 26343636 · Chartered Accountants ANZ · info@taxdoctorz.com.au · 0478 905 605 · taxdoctorz.com.au</w:t>
    </w:r>
  </w:p>
  <w:p>
    <w:pPr>
      <w:spacing w:after="0"/>
      <w:jc w:val="center"/>
    </w:pPr>
    <w:r>
      <w:rPr>
        <w:rFonts w:ascii="Arial" w:cs="Arial" w:eastAsia="Arial" w:hAnsi="Arial"/>
        <w:color w:val="5B6B80"/>
        <w:sz w:val="14"/>
        <w:szCs w:val="14"/>
      </w:rPr>
      <w:t xml:space="preserve">Page </w:t>
    </w:r>
    <w:r>
      <w:rPr>
        <w:rFonts w:ascii="Arial" w:cs="Arial" w:eastAsia="Arial" w:hAnsi="Arial"/>
        <w:color w:val="5B6B80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B6B80"/>
        <w:sz w:val="14"/>
        <w:szCs w:val="14"/>
      </w:rPr>
      <w:t xml:space="preserve"> of </w:t>
    </w:r>
    <w:r>
      <w:rPr>
        <w:rFonts w:ascii="Arial" w:cs="Arial" w:eastAsia="Arial" w:hAnsi="Arial"/>
        <w:color w:val="5B6B80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E5EAF2" w:sz="6"/>
        <w:right w:val="none" w:color="FFFFFF" w:sz="0"/>
        <w:insideH w:val="none" w:color="FFFFFF" w:sz="0"/>
        <w:insideV w:val="none" w:color="FFFFFF" w:sz="0"/>
      </w:tblBorders>
    </w:tblPr>
    <w:tblGrid>
      <w:gridCol w:w="4819"/>
      <w:gridCol w:w="4819"/>
    </w:tblGrid>
    <w:tr>
      <w:tc>
        <w:tcPr>
          <w:tcW w:type="dxa" w:w="481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00"/>
          </w:tcMar>
        </w:tcPr>
        <w:p>
          <w:pPr>
            <w:spacing w:after="0"/>
          </w:pPr>
          <w:r>
            <w:drawing>
              <wp:inline distT="0" distB="0" distL="0" distR="0">
                <wp:extent cx="1428750" cy="21907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219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00"/>
          </w:tcMar>
          <w:vAlign w:val="center"/>
        </w:tcPr>
        <w:p>
          <w:pPr>
            <w:spacing w:after="0" w:before="0" w:line="276"/>
            <w:jc w:val="right"/>
          </w:pPr>
          <w:r>
            <w:rPr>
              <w:rFonts w:ascii="Arial" w:cs="Arial" w:eastAsia="Arial" w:hAnsi="Arial"/>
              <w:b/>
              <w:bCs/>
              <w:caps/>
              <w:color w:val="5B6B80"/>
              <w:spacing w:val="24"/>
              <w:sz w:val="14"/>
              <w:szCs w:val="14"/>
            </w:rPr>
            <w:t xml:space="preserve">Chartered Accountants · Tax &amp; Business Advisory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C2A4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be399ee2213fd7876d32e977ba5d3832791b33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2026-09-21T04:32:37.259Z</dcterms:created>
  <dcterms:modified xsi:type="dcterms:W3CDTF">2026-09-21T04:32:37.259Z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