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40"/>
      </w:pPr>
      <w:r>
        <w:rPr>
          <w:rFonts w:ascii="Arial" w:cs="Arial" w:eastAsia="Arial" w:hAnsi="Arial"/>
          <w:b/>
          <w:bCs/>
          <w:color w:val="0B1F4B"/>
          <w:sz w:val="44"/>
          <w:szCs w:val="44"/>
        </w:rPr>
        <w:t xml:space="preserve">Tax Appointment Checklist</w:t>
      </w:r>
    </w:p>
    <w:p>
      <w:pPr>
        <w:pBdr>
          <w:bottom w:val="single" w:color="1B64F2" w:sz="12" w:space="8"/>
        </w:pBdr>
        <w:spacing w:after="200" w:before="0" w:line="276"/>
      </w:pPr>
      <w:r>
        <w:rPr>
          <w:rFonts w:ascii="Arial" w:cs="Arial" w:eastAsia="Arial" w:hAnsi="Arial"/>
          <w:b/>
          <w:bCs/>
          <w:caps/>
          <w:color w:val="5B6B80"/>
          <w:spacing w:val="30"/>
          <w:sz w:val="18"/>
          <w:szCs w:val="18"/>
        </w:rPr>
        <w:t xml:space="preserve">What to bring to your individual tax appointment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5B6B80"/>
          <w:sz w:val="19"/>
          <w:szCs w:val="19"/>
        </w:rPr>
        <w:t xml:space="preserve">Bring what applies to you. If a document is on myGov or the ATO portal we can usually access it, but bringing a copy saves time. Tick each item as you gather it.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4B"/>
                <w:sz w:val="20"/>
                <w:szCs w:val="20"/>
              </w:rPr>
              <w:t xml:space="preserve">Name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5B6B80" w:sz="6"/>
              <w:right w:val="none" w:color="FFFFFF" w:sz="0"/>
            </w:tcBorders>
            <w:shd w:fill="D9E9FF" w:color="auto" w:val="clear"/>
            <w:tcMar>
              <w:top w:type="dxa" w:w="80"/>
              <w:left w:type="dxa" w:w="10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2A44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4B"/>
                <w:sz w:val="20"/>
                <w:szCs w:val="20"/>
              </w:rPr>
              <w:t xml:space="preserve">Year ended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5B6B80" w:sz="6"/>
              <w:right w:val="none" w:color="FFFFFF" w:sz="0"/>
            </w:tcBorders>
            <w:shd w:fill="D9E9FF" w:color="auto" w:val="clear"/>
            <w:tcMar>
              <w:top w:type="dxa" w:w="80"/>
              <w:left w:type="dxa" w:w="10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2A44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Identity and banking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"/>
        <w:gridCol w:w="9158"/>
      </w:tblGrid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/>
                <w:bCs/>
                <w:color w:val="1C2A44"/>
                <w:sz w:val="20"/>
                <w:szCs w:val="20"/>
              </w:rPr>
              <w:t xml:space="preserve">Tax File Number and photo ID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/>
                <w:bCs/>
                <w:color w:val="1C2A44"/>
                <w:sz w:val="20"/>
                <w:szCs w:val="20"/>
              </w:rPr>
              <w:t xml:space="preserve">Bank details (for deposit of your refund)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Income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"/>
        <w:gridCol w:w="9158"/>
      </w:tblGrid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Payment summaries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If they are on myGov / the ATO portal, we can access them.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Final pay slip, electronic or paper copy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If income is not finalised on myGov.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Super lump sum or SuperStream payment summaries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Interest and dividends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Managed fund / ETF statements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Additional income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"/>
        <w:gridCol w:w="9158"/>
      </w:tblGrid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Rental income and rental expenses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Business income and business expenses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Capital gains: sales of any investments (rental properties, shares, cryptocurrency)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Other income (foreign income, employee share schemes, etc.)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Additional items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"/>
        <w:gridCol w:w="9158"/>
      </w:tblGrid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Private health insurance statement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Especially if doing your return in July.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Spouse’s taxable income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Or a reasonable estimate.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Deductions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"/>
        <w:gridCol w:w="9158"/>
      </w:tblGrid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Motor vehicle expenses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Logbook or cents-per-kilometre diary (templates on taxdoctorz.com.au/resources).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Tolls and parking costs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Interstate and overseas work-related travel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Such as accommodation, airfares and meals.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Uniforms, PPE and boots, sun protection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Courses and training for work / professional development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Memberships, registrations / licences and union fees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Tools, equipment and consumables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Laptops, desktops, tablets, phones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Computer accessories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Mice, keyboards, headsets, docks, hard drives.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Mobile, internet, stationery or home office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Donations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Tax return costs from last year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Personal super contributions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Be sure to provide your super fund with a Notice of Intent to Claim form beforehand.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Income protection insurance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Separate to cover held inside your super.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300" w:right="1134" w:bottom="1100" w:left="1134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5EAF2" w:sz="6" w:space="6"/>
      </w:pBdr>
      <w:spacing w:after="40" w:before="0" w:line="276"/>
      <w:jc w:val="center"/>
    </w:pPr>
    <w:r>
      <w:rPr>
        <w:rFonts w:ascii="Arial" w:cs="Arial" w:eastAsia="Arial" w:hAnsi="Arial"/>
        <w:color w:val="5B6B80"/>
        <w:sz w:val="14"/>
        <w:szCs w:val="14"/>
      </w:rPr>
      <w:t xml:space="preserve">Tax Doctorz Pty Ltd · Registered Tax Agent 26343636 · Chartered Accountants ANZ · info@taxdoctorz.com.au · 0478 905 605 · taxdoctorz.com.au</w:t>
    </w:r>
  </w:p>
  <w:p>
    <w:pPr>
      <w:spacing w:after="0"/>
      <w:jc w:val="center"/>
    </w:pPr>
    <w:r>
      <w:rPr>
        <w:rFonts w:ascii="Arial" w:cs="Arial" w:eastAsia="Arial" w:hAnsi="Arial"/>
        <w:color w:val="5B6B80"/>
        <w:sz w:val="14"/>
        <w:szCs w:val="14"/>
      </w:rPr>
      <w:t xml:space="preserve">Page </w:t>
    </w:r>
    <w:r>
      <w:rPr>
        <w:rFonts w:ascii="Arial" w:cs="Arial" w:eastAsia="Arial" w:hAnsi="Arial"/>
        <w:color w:val="5B6B80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B6B80"/>
        <w:sz w:val="14"/>
        <w:szCs w:val="14"/>
      </w:rPr>
      <w:t xml:space="preserve"> of </w:t>
    </w:r>
    <w:r>
      <w:rPr>
        <w:rFonts w:ascii="Arial" w:cs="Arial" w:eastAsia="Arial" w:hAnsi="Arial"/>
        <w:color w:val="5B6B80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E5EAF2" w:sz="6"/>
        <w:right w:val="none" w:color="FFFFFF" w:sz="0"/>
        <w:insideH w:val="none" w:color="FFFFFF" w:sz="0"/>
        <w:insideV w:val="none" w:color="FFFFFF" w:sz="0"/>
      </w:tblBorders>
    </w:tblPr>
    <w:tblGrid>
      <w:gridCol w:w="4819"/>
      <w:gridCol w:w="4819"/>
    </w:tblGrid>
    <w:tr>
      <w:tc>
        <w:tcPr>
          <w:tcW w:type="dxa" w:w="481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00"/>
          </w:tcMar>
        </w:tcPr>
        <w:p>
          <w:pPr>
            <w:spacing w:after="0"/>
          </w:pPr>
          <w:r>
            <w:drawing>
              <wp:inline distT="0" distB="0" distL="0" distR="0">
                <wp:extent cx="1428750" cy="219075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219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00"/>
          </w:tcMar>
          <w:vAlign w:val="center"/>
        </w:tcPr>
        <w:p>
          <w:pPr>
            <w:spacing w:after="0" w:before="0" w:line="276"/>
            <w:jc w:val="right"/>
          </w:pPr>
          <w:r>
            <w:rPr>
              <w:rFonts w:ascii="Arial" w:cs="Arial" w:eastAsia="Arial" w:hAnsi="Arial"/>
              <w:b/>
              <w:bCs/>
              <w:caps/>
              <w:color w:val="5B6B80"/>
              <w:spacing w:val="24"/>
              <w:sz w:val="14"/>
              <w:szCs w:val="14"/>
            </w:rPr>
            <w:t xml:space="preserve">Chartered Accountants · Tax &amp; Business Advisory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C2A4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be399ee2213fd7876d32e977ba5d3832791b33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2026-09-21T04:32:37.234Z</dcterms:created>
  <dcterms:modified xsi:type="dcterms:W3CDTF">2026-09-21T04:32:37.234Z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